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3CA8D">
      <w:pPr>
        <w:widowControl w:val="0"/>
        <w:adjustRightInd w:val="0"/>
        <w:snapToGrid w:val="0"/>
        <w:spacing w:after="0" w:line="440" w:lineRule="exact"/>
        <w:jc w:val="center"/>
        <w:rPr>
          <w:rFonts w:ascii="Times New Roman" w:hAnsi="Times New Roman" w:eastAsia="方正小标宋简体" w:cs="Times New Roman"/>
          <w:color w:val="000000"/>
          <w:kern w:val="2"/>
          <w:sz w:val="32"/>
          <w:szCs w:val="32"/>
          <w:lang w:eastAsia="zh-CN"/>
        </w:rPr>
      </w:pPr>
      <w:r>
        <w:rPr>
          <w:rFonts w:ascii="Times New Roman" w:hAnsi="Times New Roman" w:eastAsia="方正小标宋简体" w:cs="Times New Roman"/>
          <w:color w:val="000000"/>
          <w:kern w:val="2"/>
          <w:sz w:val="32"/>
          <w:szCs w:val="32"/>
          <w:lang w:eastAsia="zh-CN"/>
        </w:rPr>
        <w:t>2026年北京市车用尿素溶液产品质量监督抽查实施细则</w:t>
      </w:r>
    </w:p>
    <w:p w14:paraId="6FD7BDE2">
      <w:pPr>
        <w:spacing w:line="240" w:lineRule="auto"/>
        <w:rPr>
          <w:sz w:val="21"/>
          <w:szCs w:val="21"/>
        </w:rPr>
      </w:pPr>
    </w:p>
    <w:p w14:paraId="6A5472DC">
      <w:pPr>
        <w:widowControl w:val="0"/>
        <w:snapToGrid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1 抽样方法</w:t>
      </w:r>
    </w:p>
    <w:p w14:paraId="0CFF2DD7">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以随机抽样的方式在被抽样生产者、销售者的待销产品中抽取。</w:t>
      </w:r>
    </w:p>
    <w:p w14:paraId="2870A463">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随机数一般可使用随机数表等方法产生。</w:t>
      </w:r>
    </w:p>
    <w:p w14:paraId="7C7E5DE9">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抽样基数满足抽样数量即可，</w:t>
      </w:r>
      <w:r>
        <w:rPr>
          <w:rFonts w:hint="eastAsia" w:ascii="Times New Roman" w:hAnsi="Times New Roman" w:cs="Times New Roman"/>
          <w:color w:val="000000"/>
          <w:kern w:val="2"/>
          <w:sz w:val="21"/>
          <w:szCs w:val="21"/>
          <w:lang w:eastAsia="zh-CN"/>
        </w:rPr>
        <w:t>每批次产品抽取不少于2</w:t>
      </w:r>
      <w:bookmarkStart w:id="0" w:name="_GoBack"/>
      <w:bookmarkEnd w:id="0"/>
      <w:r>
        <w:rPr>
          <w:rFonts w:hint="eastAsia" w:ascii="Times New Roman" w:hAnsi="Times New Roman" w:cs="Times New Roman"/>
          <w:color w:val="000000"/>
          <w:kern w:val="2"/>
          <w:sz w:val="21"/>
          <w:szCs w:val="21"/>
          <w:lang w:eastAsia="zh-CN"/>
        </w:rPr>
        <w:t>个独立包装、总量不</w:t>
      </w:r>
      <w:r>
        <w:rPr>
          <w:rFonts w:hint="eastAsia" w:ascii="Times New Roman" w:hAnsi="Times New Roman" w:cs="Times New Roman"/>
          <w:color w:val="000000"/>
          <w:kern w:val="2"/>
          <w:sz w:val="21"/>
          <w:szCs w:val="21"/>
          <w:lang w:val="en-US" w:eastAsia="zh-CN"/>
        </w:rPr>
        <w:t>少</w:t>
      </w:r>
      <w:r>
        <w:rPr>
          <w:rFonts w:hint="eastAsia" w:ascii="Times New Roman" w:hAnsi="Times New Roman" w:cs="Times New Roman"/>
          <w:color w:val="000000"/>
          <w:kern w:val="2"/>
          <w:sz w:val="21"/>
          <w:szCs w:val="21"/>
          <w:lang w:eastAsia="zh-CN"/>
        </w:rPr>
        <w:t>于</w:t>
      </w:r>
      <w:r>
        <w:rPr>
          <w:rFonts w:hint="eastAsia" w:ascii="Times New Roman" w:hAnsi="Times New Roman" w:cs="Times New Roman"/>
          <w:color w:val="000000"/>
          <w:kern w:val="2"/>
          <w:sz w:val="21"/>
          <w:szCs w:val="21"/>
          <w:lang w:val="en-US" w:eastAsia="zh-CN"/>
        </w:rPr>
        <w:t>4kg</w:t>
      </w:r>
      <w:r>
        <w:rPr>
          <w:rFonts w:hint="eastAsia" w:ascii="Times New Roman" w:hAnsi="Times New Roman" w:cs="Times New Roman"/>
          <w:color w:val="000000"/>
          <w:kern w:val="2"/>
          <w:sz w:val="21"/>
          <w:szCs w:val="21"/>
          <w:lang w:eastAsia="zh-CN"/>
        </w:rPr>
        <w:t>（或L）的样品，如产品独立包装大于50</w:t>
      </w:r>
      <w:r>
        <w:rPr>
          <w:rFonts w:hint="eastAsia" w:ascii="Times New Roman" w:hAnsi="Times New Roman" w:cs="Times New Roman"/>
          <w:color w:val="000000"/>
          <w:kern w:val="2"/>
          <w:sz w:val="21"/>
          <w:szCs w:val="21"/>
          <w:lang w:val="en-US" w:eastAsia="zh-CN"/>
        </w:rPr>
        <w:t>kg</w:t>
      </w:r>
      <w:r>
        <w:rPr>
          <w:rFonts w:hint="eastAsia" w:ascii="Times New Roman" w:hAnsi="Times New Roman" w:cs="Times New Roman"/>
          <w:color w:val="000000"/>
          <w:kern w:val="2"/>
          <w:sz w:val="21"/>
          <w:szCs w:val="21"/>
          <w:lang w:eastAsia="zh-CN"/>
        </w:rPr>
        <w:t>（或L），使用符合GB 29518</w:t>
      </w:r>
      <w:r>
        <w:rPr>
          <w:rFonts w:hint="default" w:ascii="Times New Roman" w:hAnsi="Times New Roman" w:eastAsia="宋体" w:cs="Times New Roman"/>
          <w:b w:val="0"/>
          <w:bCs/>
          <w:sz w:val="21"/>
          <w:szCs w:val="21"/>
        </w:rPr>
        <w:t>—</w:t>
      </w:r>
      <w:r>
        <w:rPr>
          <w:rFonts w:hint="eastAsia" w:ascii="Times New Roman" w:hAnsi="Times New Roman" w:cs="Times New Roman"/>
          <w:color w:val="000000"/>
          <w:kern w:val="2"/>
          <w:sz w:val="21"/>
          <w:szCs w:val="21"/>
          <w:lang w:eastAsia="zh-CN"/>
        </w:rPr>
        <w:t>2013 《柴油发动机氮氧化物还原剂 尿素水溶液（AUS32）》附录I要求的包装物进行分装取样，</w:t>
      </w:r>
      <w:r>
        <w:rPr>
          <w:rFonts w:hint="eastAsia" w:ascii="Times New Roman" w:hAnsi="Times New Roman" w:cs="Times New Roman"/>
          <w:color w:val="000000"/>
          <w:kern w:val="2"/>
          <w:sz w:val="21"/>
          <w:szCs w:val="21"/>
          <w:lang w:val="en-US" w:eastAsia="zh-CN"/>
        </w:rPr>
        <w:t>其中2kg</w:t>
      </w:r>
      <w:r>
        <w:rPr>
          <w:rFonts w:hint="eastAsia" w:ascii="Times New Roman" w:hAnsi="Times New Roman" w:cs="Times New Roman"/>
          <w:color w:val="000000"/>
          <w:kern w:val="2"/>
          <w:sz w:val="21"/>
          <w:szCs w:val="21"/>
          <w:lang w:eastAsia="zh-CN"/>
        </w:rPr>
        <w:t>（或L）为检验</w:t>
      </w:r>
      <w:r>
        <w:rPr>
          <w:rFonts w:hint="eastAsia" w:ascii="Times New Roman" w:hAnsi="Times New Roman" w:cs="Times New Roman"/>
          <w:color w:val="000000"/>
          <w:kern w:val="2"/>
          <w:sz w:val="21"/>
          <w:szCs w:val="21"/>
          <w:lang w:val="en-US" w:eastAsia="zh-CN"/>
        </w:rPr>
        <w:t>用</w:t>
      </w:r>
      <w:r>
        <w:rPr>
          <w:rFonts w:hint="eastAsia" w:ascii="Times New Roman" w:hAnsi="Times New Roman" w:cs="Times New Roman"/>
          <w:color w:val="000000"/>
          <w:kern w:val="2"/>
          <w:sz w:val="21"/>
          <w:szCs w:val="21"/>
          <w:lang w:eastAsia="zh-CN"/>
        </w:rPr>
        <w:t>样品，</w:t>
      </w:r>
      <w:r>
        <w:rPr>
          <w:rFonts w:hint="eastAsia" w:ascii="Times New Roman" w:hAnsi="Times New Roman" w:cs="Times New Roman"/>
          <w:color w:val="000000"/>
          <w:kern w:val="2"/>
          <w:sz w:val="21"/>
          <w:szCs w:val="21"/>
          <w:lang w:val="en-US" w:eastAsia="zh-CN"/>
        </w:rPr>
        <w:t>另2kg</w:t>
      </w:r>
      <w:r>
        <w:rPr>
          <w:rFonts w:hint="eastAsia" w:ascii="Times New Roman" w:hAnsi="Times New Roman" w:cs="Times New Roman"/>
          <w:color w:val="000000"/>
          <w:kern w:val="2"/>
          <w:sz w:val="21"/>
          <w:szCs w:val="21"/>
          <w:lang w:eastAsia="zh-CN"/>
        </w:rPr>
        <w:t>（或L）为备用样品。</w:t>
      </w:r>
    </w:p>
    <w:p w14:paraId="5954A0AF">
      <w:pPr>
        <w:widowControl w:val="0"/>
        <w:snapToGrid w:val="0"/>
        <w:spacing w:after="0" w:line="240" w:lineRule="auto"/>
        <w:ind w:firstLine="420" w:firstLineChars="200"/>
        <w:jc w:val="both"/>
        <w:rPr>
          <w:rFonts w:ascii="Times New Roman" w:hAnsi="Times New Roman" w:cs="Times New Roman"/>
          <w:color w:val="000000"/>
          <w:kern w:val="2"/>
          <w:sz w:val="21"/>
          <w:szCs w:val="21"/>
          <w:lang w:eastAsia="zh-CN"/>
        </w:rPr>
      </w:pPr>
    </w:p>
    <w:p w14:paraId="5CBE9394">
      <w:pPr>
        <w:widowControl w:val="0"/>
        <w:snapToGrid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2 检验依据</w:t>
      </w:r>
    </w:p>
    <w:p w14:paraId="3FD22426">
      <w:pPr>
        <w:widowControl w:val="0"/>
        <w:snapToGrid w:val="0"/>
        <w:spacing w:after="0" w:line="240" w:lineRule="auto"/>
        <w:jc w:val="both"/>
        <w:rPr>
          <w:rFonts w:ascii="Times New Roman" w:hAnsi="Times New Roman" w:eastAsia="黑体" w:cs="Times New Roman"/>
          <w:color w:val="000000"/>
          <w:kern w:val="2"/>
          <w:sz w:val="21"/>
          <w:szCs w:val="21"/>
          <w:lang w:eastAsia="zh-CN"/>
        </w:rPr>
      </w:pPr>
    </w:p>
    <w:tbl>
      <w:tblPr>
        <w:tblStyle w:val="3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3708"/>
        <w:gridCol w:w="2063"/>
        <w:gridCol w:w="2215"/>
      </w:tblGrid>
      <w:tr w14:paraId="48C1B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89" w:type="pct"/>
            <w:vAlign w:val="center"/>
          </w:tcPr>
          <w:p w14:paraId="7CEA31C6">
            <w:pPr>
              <w:spacing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序号</w:t>
            </w:r>
          </w:p>
        </w:tc>
        <w:tc>
          <w:tcPr>
            <w:tcW w:w="2094" w:type="pct"/>
            <w:vAlign w:val="center"/>
          </w:tcPr>
          <w:p w14:paraId="410997D9">
            <w:pPr>
              <w:spacing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检验项目</w:t>
            </w:r>
          </w:p>
        </w:tc>
        <w:tc>
          <w:tcPr>
            <w:tcW w:w="1165" w:type="pct"/>
            <w:vAlign w:val="center"/>
          </w:tcPr>
          <w:p w14:paraId="28C79C41">
            <w:pPr>
              <w:spacing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检验依据</w:t>
            </w:r>
          </w:p>
        </w:tc>
        <w:tc>
          <w:tcPr>
            <w:tcW w:w="1251" w:type="pct"/>
            <w:vAlign w:val="center"/>
          </w:tcPr>
          <w:p w14:paraId="6B4E500A">
            <w:pPr>
              <w:spacing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检验方法</w:t>
            </w:r>
          </w:p>
        </w:tc>
      </w:tr>
      <w:tr w14:paraId="2AFEB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489" w:type="pct"/>
            <w:tcBorders>
              <w:top w:val="single" w:color="000000" w:sz="4" w:space="0"/>
              <w:left w:val="single" w:color="000000" w:sz="4" w:space="0"/>
              <w:bottom w:val="single" w:color="000000" w:sz="4" w:space="0"/>
              <w:right w:val="single" w:color="000000" w:sz="4" w:space="0"/>
            </w:tcBorders>
            <w:vAlign w:val="center"/>
          </w:tcPr>
          <w:p w14:paraId="033B0F56">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1</w:t>
            </w:r>
          </w:p>
        </w:tc>
        <w:tc>
          <w:tcPr>
            <w:tcW w:w="2094" w:type="pct"/>
            <w:tcBorders>
              <w:top w:val="single" w:color="000000" w:sz="4" w:space="0"/>
              <w:left w:val="single" w:color="000000" w:sz="4" w:space="0"/>
              <w:bottom w:val="single" w:color="000000" w:sz="4" w:space="0"/>
              <w:right w:val="single" w:color="000000" w:sz="4" w:space="0"/>
            </w:tcBorders>
            <w:vAlign w:val="center"/>
          </w:tcPr>
          <w:p w14:paraId="4E7F2593">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尿素含量（质量分数）</w:t>
            </w:r>
          </w:p>
        </w:tc>
        <w:tc>
          <w:tcPr>
            <w:tcW w:w="1165" w:type="pct"/>
            <w:tcBorders>
              <w:top w:val="single" w:color="000000" w:sz="4" w:space="0"/>
              <w:left w:val="single" w:color="000000" w:sz="4" w:space="0"/>
              <w:bottom w:val="single" w:color="000000" w:sz="4" w:space="0"/>
              <w:right w:val="single" w:color="000000" w:sz="4" w:space="0"/>
            </w:tcBorders>
            <w:vAlign w:val="center"/>
          </w:tcPr>
          <w:p w14:paraId="0D3AED8B">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c>
          <w:tcPr>
            <w:tcW w:w="1251" w:type="pct"/>
            <w:tcBorders>
              <w:top w:val="single" w:color="000000" w:sz="4" w:space="0"/>
              <w:left w:val="single" w:color="000000" w:sz="4" w:space="0"/>
              <w:bottom w:val="single" w:color="000000" w:sz="4" w:space="0"/>
              <w:right w:val="single" w:color="000000" w:sz="4" w:space="0"/>
            </w:tcBorders>
            <w:vAlign w:val="center"/>
          </w:tcPr>
          <w:p w14:paraId="6833BC31">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r>
      <w:tr w14:paraId="1C225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 w:type="pct"/>
            <w:tcBorders>
              <w:top w:val="single" w:color="000000" w:sz="4" w:space="0"/>
              <w:left w:val="single" w:color="000000" w:sz="4" w:space="0"/>
              <w:bottom w:val="single" w:color="000000" w:sz="4" w:space="0"/>
              <w:right w:val="single" w:color="000000" w:sz="4" w:space="0"/>
            </w:tcBorders>
            <w:vAlign w:val="center"/>
          </w:tcPr>
          <w:p w14:paraId="70DB424C">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2</w:t>
            </w:r>
          </w:p>
        </w:tc>
        <w:tc>
          <w:tcPr>
            <w:tcW w:w="2094" w:type="pct"/>
            <w:tcBorders>
              <w:top w:val="single" w:color="000000" w:sz="4" w:space="0"/>
              <w:left w:val="single" w:color="000000" w:sz="4" w:space="0"/>
              <w:bottom w:val="single" w:color="000000" w:sz="4" w:space="0"/>
              <w:right w:val="single" w:color="000000" w:sz="4" w:space="0"/>
            </w:tcBorders>
            <w:vAlign w:val="center"/>
          </w:tcPr>
          <w:p w14:paraId="074DDC2A">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密度（20℃）</w:t>
            </w:r>
          </w:p>
        </w:tc>
        <w:tc>
          <w:tcPr>
            <w:tcW w:w="1165" w:type="pct"/>
            <w:tcBorders>
              <w:top w:val="single" w:color="000000" w:sz="4" w:space="0"/>
              <w:left w:val="single" w:color="000000" w:sz="4" w:space="0"/>
              <w:bottom w:val="single" w:color="000000" w:sz="4" w:space="0"/>
              <w:right w:val="single" w:color="000000" w:sz="4" w:space="0"/>
            </w:tcBorders>
            <w:vAlign w:val="center"/>
          </w:tcPr>
          <w:p w14:paraId="6D55743F">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c>
          <w:tcPr>
            <w:tcW w:w="1251" w:type="pct"/>
            <w:tcBorders>
              <w:top w:val="single" w:color="000000" w:sz="4" w:space="0"/>
              <w:left w:val="single" w:color="000000" w:sz="4" w:space="0"/>
              <w:bottom w:val="single" w:color="000000" w:sz="4" w:space="0"/>
              <w:right w:val="single" w:color="000000" w:sz="4" w:space="0"/>
            </w:tcBorders>
            <w:vAlign w:val="center"/>
          </w:tcPr>
          <w:p w14:paraId="2F0A8B55">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SH/T 0604—2000</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GB/T 1884—2000</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GB/T 1885—1998</w:t>
            </w:r>
          </w:p>
        </w:tc>
      </w:tr>
      <w:tr w14:paraId="73400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 w:type="pct"/>
            <w:tcBorders>
              <w:top w:val="single" w:color="000000" w:sz="4" w:space="0"/>
              <w:left w:val="single" w:color="000000" w:sz="4" w:space="0"/>
              <w:bottom w:val="single" w:color="000000" w:sz="4" w:space="0"/>
              <w:right w:val="single" w:color="000000" w:sz="4" w:space="0"/>
            </w:tcBorders>
            <w:vAlign w:val="center"/>
          </w:tcPr>
          <w:p w14:paraId="755297C7">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3</w:t>
            </w:r>
          </w:p>
        </w:tc>
        <w:tc>
          <w:tcPr>
            <w:tcW w:w="2094" w:type="pct"/>
            <w:tcBorders>
              <w:top w:val="single" w:color="000000" w:sz="4" w:space="0"/>
              <w:left w:val="single" w:color="000000" w:sz="4" w:space="0"/>
              <w:bottom w:val="single" w:color="000000" w:sz="4" w:space="0"/>
              <w:right w:val="single" w:color="000000" w:sz="4" w:space="0"/>
            </w:tcBorders>
            <w:vAlign w:val="center"/>
          </w:tcPr>
          <w:p w14:paraId="2971FC87">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折光率</w:t>
            </w:r>
            <w:r>
              <w:rPr>
                <w:rFonts w:hint="default" w:ascii="Times New Roman" w:hAnsi="Times New Roman" w:eastAsia="宋体" w:cs="Times New Roman"/>
                <w:b w:val="0"/>
                <w:bCs/>
                <w:sz w:val="21"/>
                <w:szCs w:val="21"/>
                <w:vertAlign w:val="superscript"/>
              </w:rPr>
              <w:t>20</w:t>
            </w:r>
            <w:r>
              <w:rPr>
                <w:rFonts w:hint="default" w:ascii="Times New Roman" w:hAnsi="Times New Roman" w:eastAsia="宋体" w:cs="Times New Roman"/>
                <w:b w:val="0"/>
                <w:bCs/>
                <w:sz w:val="21"/>
                <w:szCs w:val="21"/>
                <w:vertAlign w:val="subscript"/>
              </w:rPr>
              <w:t>nD</w:t>
            </w:r>
          </w:p>
        </w:tc>
        <w:tc>
          <w:tcPr>
            <w:tcW w:w="1165" w:type="pct"/>
            <w:tcBorders>
              <w:top w:val="single" w:color="000000" w:sz="4" w:space="0"/>
              <w:left w:val="single" w:color="000000" w:sz="4" w:space="0"/>
              <w:bottom w:val="single" w:color="000000" w:sz="4" w:space="0"/>
              <w:right w:val="single" w:color="000000" w:sz="4" w:space="0"/>
            </w:tcBorders>
            <w:vAlign w:val="center"/>
          </w:tcPr>
          <w:p w14:paraId="3AFD276F">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c>
          <w:tcPr>
            <w:tcW w:w="1251" w:type="pct"/>
            <w:tcBorders>
              <w:top w:val="single" w:color="000000" w:sz="4" w:space="0"/>
              <w:left w:val="single" w:color="000000" w:sz="4" w:space="0"/>
              <w:bottom w:val="single" w:color="000000" w:sz="4" w:space="0"/>
              <w:right w:val="single" w:color="000000" w:sz="4" w:space="0"/>
            </w:tcBorders>
            <w:vAlign w:val="center"/>
          </w:tcPr>
          <w:p w14:paraId="7608DADD">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GB/T 614—2021</w:t>
            </w:r>
          </w:p>
        </w:tc>
      </w:tr>
      <w:tr w14:paraId="7A011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 w:type="pct"/>
            <w:tcBorders>
              <w:top w:val="single" w:color="000000" w:sz="4" w:space="0"/>
              <w:left w:val="single" w:color="000000" w:sz="4" w:space="0"/>
              <w:bottom w:val="single" w:color="000000" w:sz="4" w:space="0"/>
              <w:right w:val="single" w:color="000000" w:sz="4" w:space="0"/>
            </w:tcBorders>
            <w:vAlign w:val="center"/>
          </w:tcPr>
          <w:p w14:paraId="43F2D3C0">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4</w:t>
            </w:r>
          </w:p>
        </w:tc>
        <w:tc>
          <w:tcPr>
            <w:tcW w:w="2094" w:type="pct"/>
            <w:tcBorders>
              <w:top w:val="single" w:color="000000" w:sz="4" w:space="0"/>
              <w:left w:val="single" w:color="000000" w:sz="4" w:space="0"/>
              <w:bottom w:val="single" w:color="000000" w:sz="4" w:space="0"/>
              <w:right w:val="single" w:color="000000" w:sz="4" w:space="0"/>
            </w:tcBorders>
            <w:vAlign w:val="center"/>
          </w:tcPr>
          <w:p w14:paraId="3E8EB077">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不溶物</w:t>
            </w:r>
          </w:p>
        </w:tc>
        <w:tc>
          <w:tcPr>
            <w:tcW w:w="1165" w:type="pct"/>
            <w:tcBorders>
              <w:top w:val="single" w:color="000000" w:sz="4" w:space="0"/>
              <w:left w:val="single" w:color="000000" w:sz="4" w:space="0"/>
              <w:bottom w:val="single" w:color="000000" w:sz="4" w:space="0"/>
              <w:right w:val="single" w:color="000000" w:sz="4" w:space="0"/>
            </w:tcBorders>
            <w:vAlign w:val="center"/>
          </w:tcPr>
          <w:p w14:paraId="195AEFFD">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c>
          <w:tcPr>
            <w:tcW w:w="1251" w:type="pct"/>
            <w:tcBorders>
              <w:top w:val="single" w:color="000000" w:sz="4" w:space="0"/>
              <w:left w:val="single" w:color="000000" w:sz="4" w:space="0"/>
              <w:bottom w:val="single" w:color="000000" w:sz="4" w:space="0"/>
              <w:right w:val="single" w:color="000000" w:sz="4" w:space="0"/>
            </w:tcBorders>
            <w:vAlign w:val="center"/>
          </w:tcPr>
          <w:p w14:paraId="40D4E846">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r>
      <w:tr w14:paraId="3566A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 w:type="pct"/>
            <w:tcBorders>
              <w:top w:val="single" w:color="000000" w:sz="4" w:space="0"/>
              <w:left w:val="single" w:color="000000" w:sz="4" w:space="0"/>
              <w:bottom w:val="single" w:color="000000" w:sz="4" w:space="0"/>
              <w:right w:val="single" w:color="000000" w:sz="4" w:space="0"/>
            </w:tcBorders>
            <w:vAlign w:val="center"/>
          </w:tcPr>
          <w:p w14:paraId="6C57E7FF">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5</w:t>
            </w:r>
          </w:p>
        </w:tc>
        <w:tc>
          <w:tcPr>
            <w:tcW w:w="2094" w:type="pct"/>
            <w:tcBorders>
              <w:top w:val="single" w:color="000000" w:sz="4" w:space="0"/>
              <w:left w:val="single" w:color="000000" w:sz="4" w:space="0"/>
              <w:bottom w:val="single" w:color="000000" w:sz="4" w:space="0"/>
              <w:right w:val="single" w:color="000000" w:sz="4" w:space="0"/>
            </w:tcBorders>
            <w:vAlign w:val="center"/>
          </w:tcPr>
          <w:p w14:paraId="1E0E4E08">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碱度（以NH</w:t>
            </w:r>
            <w:r>
              <w:rPr>
                <w:rFonts w:hint="default" w:ascii="Times New Roman" w:hAnsi="Times New Roman" w:eastAsia="宋体" w:cs="Times New Roman"/>
                <w:b w:val="0"/>
                <w:bCs/>
                <w:sz w:val="21"/>
                <w:szCs w:val="21"/>
                <w:vertAlign w:val="subscript"/>
              </w:rPr>
              <w:t>3</w:t>
            </w:r>
            <w:r>
              <w:rPr>
                <w:rFonts w:hint="default" w:ascii="Times New Roman" w:hAnsi="Times New Roman" w:eastAsia="宋体" w:cs="Times New Roman"/>
                <w:b w:val="0"/>
                <w:bCs/>
                <w:sz w:val="21"/>
                <w:szCs w:val="21"/>
              </w:rPr>
              <w:t>计）（质量分数）</w:t>
            </w:r>
          </w:p>
        </w:tc>
        <w:tc>
          <w:tcPr>
            <w:tcW w:w="1165" w:type="pct"/>
            <w:tcBorders>
              <w:top w:val="single" w:color="000000" w:sz="4" w:space="0"/>
              <w:left w:val="single" w:color="000000" w:sz="4" w:space="0"/>
              <w:bottom w:val="single" w:color="000000" w:sz="4" w:space="0"/>
              <w:right w:val="single" w:color="000000" w:sz="4" w:space="0"/>
            </w:tcBorders>
            <w:vAlign w:val="center"/>
          </w:tcPr>
          <w:p w14:paraId="3BCE151A">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c>
          <w:tcPr>
            <w:tcW w:w="1251" w:type="pct"/>
            <w:tcBorders>
              <w:top w:val="single" w:color="000000" w:sz="4" w:space="0"/>
              <w:left w:val="single" w:color="000000" w:sz="4" w:space="0"/>
              <w:bottom w:val="single" w:color="000000" w:sz="4" w:space="0"/>
              <w:right w:val="single" w:color="000000" w:sz="4" w:space="0"/>
            </w:tcBorders>
            <w:vAlign w:val="center"/>
          </w:tcPr>
          <w:p w14:paraId="6DFB315A">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r>
      <w:tr w14:paraId="3DABB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 w:type="pct"/>
            <w:tcBorders>
              <w:top w:val="single" w:color="000000" w:sz="4" w:space="0"/>
              <w:left w:val="single" w:color="000000" w:sz="4" w:space="0"/>
              <w:bottom w:val="single" w:color="000000" w:sz="4" w:space="0"/>
              <w:right w:val="single" w:color="000000" w:sz="4" w:space="0"/>
            </w:tcBorders>
            <w:vAlign w:val="center"/>
          </w:tcPr>
          <w:p w14:paraId="1590E813">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6</w:t>
            </w:r>
          </w:p>
        </w:tc>
        <w:tc>
          <w:tcPr>
            <w:tcW w:w="2094" w:type="pct"/>
            <w:tcBorders>
              <w:top w:val="single" w:color="000000" w:sz="4" w:space="0"/>
              <w:left w:val="single" w:color="000000" w:sz="4" w:space="0"/>
              <w:bottom w:val="single" w:color="000000" w:sz="4" w:space="0"/>
              <w:right w:val="single" w:color="000000" w:sz="4" w:space="0"/>
            </w:tcBorders>
            <w:vAlign w:val="center"/>
          </w:tcPr>
          <w:p w14:paraId="7F40BD81">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缩二脲（质量分数）</w:t>
            </w:r>
          </w:p>
        </w:tc>
        <w:tc>
          <w:tcPr>
            <w:tcW w:w="1165" w:type="pct"/>
            <w:tcBorders>
              <w:top w:val="single" w:color="000000" w:sz="4" w:space="0"/>
              <w:left w:val="single" w:color="000000" w:sz="4" w:space="0"/>
              <w:bottom w:val="single" w:color="000000" w:sz="4" w:space="0"/>
              <w:right w:val="single" w:color="000000" w:sz="4" w:space="0"/>
            </w:tcBorders>
            <w:vAlign w:val="center"/>
          </w:tcPr>
          <w:p w14:paraId="277EC286">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c>
          <w:tcPr>
            <w:tcW w:w="1251" w:type="pct"/>
            <w:tcBorders>
              <w:top w:val="single" w:color="000000" w:sz="4" w:space="0"/>
              <w:left w:val="single" w:color="000000" w:sz="4" w:space="0"/>
              <w:bottom w:val="single" w:color="000000" w:sz="4" w:space="0"/>
              <w:right w:val="single" w:color="000000" w:sz="4" w:space="0"/>
            </w:tcBorders>
            <w:vAlign w:val="center"/>
          </w:tcPr>
          <w:p w14:paraId="3F58FA15">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r>
      <w:tr w14:paraId="547FE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 w:type="pct"/>
            <w:tcBorders>
              <w:top w:val="single" w:color="000000" w:sz="4" w:space="0"/>
              <w:left w:val="single" w:color="000000" w:sz="4" w:space="0"/>
              <w:bottom w:val="single" w:color="000000" w:sz="4" w:space="0"/>
              <w:right w:val="single" w:color="000000" w:sz="4" w:space="0"/>
            </w:tcBorders>
            <w:vAlign w:val="center"/>
          </w:tcPr>
          <w:p w14:paraId="3AE36696">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7</w:t>
            </w:r>
          </w:p>
        </w:tc>
        <w:tc>
          <w:tcPr>
            <w:tcW w:w="2094" w:type="pct"/>
            <w:tcBorders>
              <w:top w:val="single" w:color="000000" w:sz="4" w:space="0"/>
              <w:left w:val="single" w:color="000000" w:sz="4" w:space="0"/>
              <w:bottom w:val="single" w:color="000000" w:sz="4" w:space="0"/>
              <w:right w:val="single" w:color="000000" w:sz="4" w:space="0"/>
            </w:tcBorders>
            <w:vAlign w:val="center"/>
          </w:tcPr>
          <w:p w14:paraId="794795F1">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醛类（以HCHO计）</w:t>
            </w:r>
          </w:p>
        </w:tc>
        <w:tc>
          <w:tcPr>
            <w:tcW w:w="1165" w:type="pct"/>
            <w:tcBorders>
              <w:top w:val="single" w:color="000000" w:sz="4" w:space="0"/>
              <w:left w:val="single" w:color="000000" w:sz="4" w:space="0"/>
              <w:bottom w:val="single" w:color="000000" w:sz="4" w:space="0"/>
              <w:right w:val="single" w:color="000000" w:sz="4" w:space="0"/>
            </w:tcBorders>
            <w:vAlign w:val="center"/>
          </w:tcPr>
          <w:p w14:paraId="3D763553">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c>
          <w:tcPr>
            <w:tcW w:w="1251" w:type="pct"/>
            <w:tcBorders>
              <w:top w:val="single" w:color="000000" w:sz="4" w:space="0"/>
              <w:left w:val="single" w:color="000000" w:sz="4" w:space="0"/>
              <w:bottom w:val="single" w:color="000000" w:sz="4" w:space="0"/>
              <w:right w:val="single" w:color="000000" w:sz="4" w:space="0"/>
            </w:tcBorders>
            <w:vAlign w:val="center"/>
          </w:tcPr>
          <w:p w14:paraId="0AC2BA85">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r>
      <w:tr w14:paraId="5838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 w:type="pct"/>
            <w:tcBorders>
              <w:top w:val="single" w:color="000000" w:sz="4" w:space="0"/>
              <w:left w:val="single" w:color="000000" w:sz="4" w:space="0"/>
              <w:bottom w:val="single" w:color="000000" w:sz="4" w:space="0"/>
              <w:right w:val="single" w:color="000000" w:sz="4" w:space="0"/>
            </w:tcBorders>
            <w:vAlign w:val="center"/>
          </w:tcPr>
          <w:p w14:paraId="1486AC7F">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8</w:t>
            </w:r>
          </w:p>
        </w:tc>
        <w:tc>
          <w:tcPr>
            <w:tcW w:w="2094" w:type="pct"/>
            <w:tcBorders>
              <w:top w:val="single" w:color="000000" w:sz="4" w:space="0"/>
              <w:left w:val="single" w:color="000000" w:sz="4" w:space="0"/>
              <w:bottom w:val="single" w:color="000000" w:sz="4" w:space="0"/>
              <w:right w:val="single" w:color="000000" w:sz="4" w:space="0"/>
            </w:tcBorders>
            <w:vAlign w:val="center"/>
          </w:tcPr>
          <w:p w14:paraId="014B553F">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磷酸盐（以PO</w:t>
            </w:r>
            <w:r>
              <w:rPr>
                <w:rFonts w:hint="default" w:ascii="Times New Roman" w:hAnsi="Times New Roman" w:eastAsia="宋体" w:cs="Times New Roman"/>
                <w:b w:val="0"/>
                <w:bCs/>
                <w:sz w:val="21"/>
                <w:szCs w:val="21"/>
                <w:vertAlign w:val="subscript"/>
              </w:rPr>
              <w:t>4</w:t>
            </w:r>
            <w:r>
              <w:rPr>
                <w:rFonts w:hint="default" w:ascii="Times New Roman" w:hAnsi="Times New Roman" w:eastAsia="宋体" w:cs="Times New Roman"/>
                <w:b w:val="0"/>
                <w:bCs/>
                <w:sz w:val="21"/>
                <w:szCs w:val="21"/>
              </w:rPr>
              <w:t>计）</w:t>
            </w:r>
          </w:p>
        </w:tc>
        <w:tc>
          <w:tcPr>
            <w:tcW w:w="1165" w:type="pct"/>
            <w:tcBorders>
              <w:top w:val="single" w:color="000000" w:sz="4" w:space="0"/>
              <w:left w:val="single" w:color="000000" w:sz="4" w:space="0"/>
              <w:bottom w:val="single" w:color="000000" w:sz="4" w:space="0"/>
              <w:right w:val="single" w:color="000000" w:sz="4" w:space="0"/>
            </w:tcBorders>
            <w:vAlign w:val="center"/>
          </w:tcPr>
          <w:p w14:paraId="462D3A41">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c>
          <w:tcPr>
            <w:tcW w:w="1251" w:type="pct"/>
            <w:tcBorders>
              <w:top w:val="single" w:color="000000" w:sz="4" w:space="0"/>
              <w:left w:val="single" w:color="000000" w:sz="4" w:space="0"/>
              <w:bottom w:val="single" w:color="000000" w:sz="4" w:space="0"/>
              <w:right w:val="single" w:color="000000" w:sz="4" w:space="0"/>
            </w:tcBorders>
            <w:vAlign w:val="center"/>
          </w:tcPr>
          <w:p w14:paraId="724CE938">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r>
      <w:tr w14:paraId="6CEE0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 w:type="pct"/>
            <w:tcBorders>
              <w:top w:val="single" w:color="000000" w:sz="4" w:space="0"/>
              <w:left w:val="single" w:color="000000" w:sz="4" w:space="0"/>
              <w:bottom w:val="single" w:color="000000" w:sz="4" w:space="0"/>
              <w:right w:val="single" w:color="000000" w:sz="4" w:space="0"/>
            </w:tcBorders>
            <w:vAlign w:val="center"/>
          </w:tcPr>
          <w:p w14:paraId="640E99A6">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9</w:t>
            </w:r>
          </w:p>
        </w:tc>
        <w:tc>
          <w:tcPr>
            <w:tcW w:w="2094" w:type="pct"/>
            <w:tcBorders>
              <w:top w:val="single" w:color="000000" w:sz="4" w:space="0"/>
              <w:left w:val="single" w:color="000000" w:sz="4" w:space="0"/>
              <w:bottom w:val="single" w:color="000000" w:sz="4" w:space="0"/>
              <w:right w:val="single" w:color="000000" w:sz="4" w:space="0"/>
            </w:tcBorders>
            <w:vAlign w:val="center"/>
          </w:tcPr>
          <w:p w14:paraId="25CCF594">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钠</w:t>
            </w:r>
          </w:p>
        </w:tc>
        <w:tc>
          <w:tcPr>
            <w:tcW w:w="1165" w:type="pct"/>
            <w:tcBorders>
              <w:top w:val="single" w:color="000000" w:sz="4" w:space="0"/>
              <w:left w:val="single" w:color="000000" w:sz="4" w:space="0"/>
              <w:bottom w:val="single" w:color="000000" w:sz="4" w:space="0"/>
              <w:right w:val="single" w:color="000000" w:sz="4" w:space="0"/>
            </w:tcBorders>
            <w:vAlign w:val="center"/>
          </w:tcPr>
          <w:p w14:paraId="18DB81CD">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c>
          <w:tcPr>
            <w:tcW w:w="1251" w:type="pct"/>
            <w:tcBorders>
              <w:top w:val="single" w:color="000000" w:sz="4" w:space="0"/>
              <w:left w:val="single" w:color="000000" w:sz="4" w:space="0"/>
              <w:bottom w:val="single" w:color="000000" w:sz="4" w:space="0"/>
              <w:right w:val="single" w:color="000000" w:sz="4" w:space="0"/>
            </w:tcBorders>
            <w:vAlign w:val="center"/>
          </w:tcPr>
          <w:p w14:paraId="7EE9B2E9">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r>
      <w:tr w14:paraId="42022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 w:type="pct"/>
            <w:tcBorders>
              <w:top w:val="single" w:color="000000" w:sz="4" w:space="0"/>
              <w:left w:val="single" w:color="000000" w:sz="4" w:space="0"/>
              <w:bottom w:val="single" w:color="000000" w:sz="4" w:space="0"/>
              <w:right w:val="single" w:color="000000" w:sz="4" w:space="0"/>
            </w:tcBorders>
            <w:vAlign w:val="center"/>
          </w:tcPr>
          <w:p w14:paraId="3F430E8A">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10</w:t>
            </w:r>
          </w:p>
        </w:tc>
        <w:tc>
          <w:tcPr>
            <w:tcW w:w="2094" w:type="pct"/>
            <w:tcBorders>
              <w:top w:val="single" w:color="000000" w:sz="4" w:space="0"/>
              <w:left w:val="single" w:color="000000" w:sz="4" w:space="0"/>
              <w:bottom w:val="single" w:color="000000" w:sz="4" w:space="0"/>
              <w:right w:val="single" w:color="000000" w:sz="4" w:space="0"/>
            </w:tcBorders>
            <w:vAlign w:val="center"/>
          </w:tcPr>
          <w:p w14:paraId="601F4F1B">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镁</w:t>
            </w:r>
          </w:p>
        </w:tc>
        <w:tc>
          <w:tcPr>
            <w:tcW w:w="1165" w:type="pct"/>
            <w:tcBorders>
              <w:top w:val="single" w:color="000000" w:sz="4" w:space="0"/>
              <w:left w:val="single" w:color="000000" w:sz="4" w:space="0"/>
              <w:bottom w:val="single" w:color="000000" w:sz="4" w:space="0"/>
              <w:right w:val="single" w:color="000000" w:sz="4" w:space="0"/>
            </w:tcBorders>
            <w:vAlign w:val="center"/>
          </w:tcPr>
          <w:p w14:paraId="267DAEFA">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c>
          <w:tcPr>
            <w:tcW w:w="1251" w:type="pct"/>
            <w:tcBorders>
              <w:top w:val="single" w:color="000000" w:sz="4" w:space="0"/>
              <w:left w:val="single" w:color="000000" w:sz="4" w:space="0"/>
              <w:bottom w:val="single" w:color="000000" w:sz="4" w:space="0"/>
              <w:right w:val="single" w:color="000000" w:sz="4" w:space="0"/>
            </w:tcBorders>
            <w:vAlign w:val="center"/>
          </w:tcPr>
          <w:p w14:paraId="25F3DCBB">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r>
      <w:tr w14:paraId="5318E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 w:type="pct"/>
            <w:tcBorders>
              <w:top w:val="single" w:color="000000" w:sz="4" w:space="0"/>
              <w:left w:val="single" w:color="000000" w:sz="4" w:space="0"/>
              <w:bottom w:val="single" w:color="000000" w:sz="4" w:space="0"/>
              <w:right w:val="single" w:color="000000" w:sz="4" w:space="0"/>
            </w:tcBorders>
            <w:vAlign w:val="center"/>
          </w:tcPr>
          <w:p w14:paraId="04E641CE">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11</w:t>
            </w:r>
          </w:p>
        </w:tc>
        <w:tc>
          <w:tcPr>
            <w:tcW w:w="2094" w:type="pct"/>
            <w:tcBorders>
              <w:top w:val="single" w:color="000000" w:sz="4" w:space="0"/>
              <w:left w:val="single" w:color="000000" w:sz="4" w:space="0"/>
              <w:bottom w:val="single" w:color="000000" w:sz="4" w:space="0"/>
              <w:right w:val="single" w:color="000000" w:sz="4" w:space="0"/>
            </w:tcBorders>
            <w:vAlign w:val="center"/>
          </w:tcPr>
          <w:p w14:paraId="3BDF777A">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钾</w:t>
            </w:r>
          </w:p>
        </w:tc>
        <w:tc>
          <w:tcPr>
            <w:tcW w:w="1165" w:type="pct"/>
            <w:tcBorders>
              <w:top w:val="single" w:color="000000" w:sz="4" w:space="0"/>
              <w:left w:val="single" w:color="000000" w:sz="4" w:space="0"/>
              <w:bottom w:val="single" w:color="000000" w:sz="4" w:space="0"/>
              <w:right w:val="single" w:color="000000" w:sz="4" w:space="0"/>
            </w:tcBorders>
            <w:vAlign w:val="center"/>
          </w:tcPr>
          <w:p w14:paraId="5133F8E8">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c>
          <w:tcPr>
            <w:tcW w:w="1251" w:type="pct"/>
            <w:tcBorders>
              <w:top w:val="single" w:color="000000" w:sz="4" w:space="0"/>
              <w:left w:val="single" w:color="000000" w:sz="4" w:space="0"/>
              <w:bottom w:val="single" w:color="000000" w:sz="4" w:space="0"/>
              <w:right w:val="single" w:color="000000" w:sz="4" w:space="0"/>
            </w:tcBorders>
            <w:vAlign w:val="center"/>
          </w:tcPr>
          <w:p w14:paraId="3C159209">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r>
      <w:tr w14:paraId="26C3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 w:type="pct"/>
            <w:tcBorders>
              <w:top w:val="single" w:color="000000" w:sz="4" w:space="0"/>
              <w:left w:val="single" w:color="000000" w:sz="4" w:space="0"/>
              <w:bottom w:val="single" w:color="000000" w:sz="4" w:space="0"/>
              <w:right w:val="single" w:color="000000" w:sz="4" w:space="0"/>
            </w:tcBorders>
            <w:vAlign w:val="center"/>
          </w:tcPr>
          <w:p w14:paraId="0B123DC7">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12</w:t>
            </w:r>
          </w:p>
        </w:tc>
        <w:tc>
          <w:tcPr>
            <w:tcW w:w="2094" w:type="pct"/>
            <w:tcBorders>
              <w:top w:val="single" w:color="000000" w:sz="4" w:space="0"/>
              <w:left w:val="single" w:color="000000" w:sz="4" w:space="0"/>
              <w:bottom w:val="single" w:color="000000" w:sz="4" w:space="0"/>
              <w:right w:val="single" w:color="000000" w:sz="4" w:space="0"/>
            </w:tcBorders>
            <w:vAlign w:val="center"/>
          </w:tcPr>
          <w:p w14:paraId="5C12DA4E">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钙</w:t>
            </w:r>
          </w:p>
        </w:tc>
        <w:tc>
          <w:tcPr>
            <w:tcW w:w="1165" w:type="pct"/>
            <w:tcBorders>
              <w:top w:val="single" w:color="000000" w:sz="4" w:space="0"/>
              <w:left w:val="single" w:color="000000" w:sz="4" w:space="0"/>
              <w:bottom w:val="single" w:color="000000" w:sz="4" w:space="0"/>
              <w:right w:val="single" w:color="000000" w:sz="4" w:space="0"/>
            </w:tcBorders>
            <w:vAlign w:val="center"/>
          </w:tcPr>
          <w:p w14:paraId="39D1729A">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c>
          <w:tcPr>
            <w:tcW w:w="1251" w:type="pct"/>
            <w:tcBorders>
              <w:top w:val="single" w:color="000000" w:sz="4" w:space="0"/>
              <w:left w:val="single" w:color="000000" w:sz="4" w:space="0"/>
              <w:bottom w:val="single" w:color="000000" w:sz="4" w:space="0"/>
              <w:right w:val="single" w:color="000000" w:sz="4" w:space="0"/>
            </w:tcBorders>
            <w:vAlign w:val="center"/>
          </w:tcPr>
          <w:p w14:paraId="52B673F7">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r>
      <w:tr w14:paraId="12DF6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 w:type="pct"/>
            <w:tcBorders>
              <w:top w:val="single" w:color="000000" w:sz="4" w:space="0"/>
              <w:left w:val="single" w:color="000000" w:sz="4" w:space="0"/>
              <w:bottom w:val="single" w:color="000000" w:sz="4" w:space="0"/>
              <w:right w:val="single" w:color="000000" w:sz="4" w:space="0"/>
            </w:tcBorders>
            <w:vAlign w:val="center"/>
          </w:tcPr>
          <w:p w14:paraId="6328B99F">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13</w:t>
            </w:r>
          </w:p>
        </w:tc>
        <w:tc>
          <w:tcPr>
            <w:tcW w:w="2094" w:type="pct"/>
            <w:tcBorders>
              <w:top w:val="single" w:color="000000" w:sz="4" w:space="0"/>
              <w:left w:val="single" w:color="000000" w:sz="4" w:space="0"/>
              <w:bottom w:val="single" w:color="000000" w:sz="4" w:space="0"/>
              <w:right w:val="single" w:color="000000" w:sz="4" w:space="0"/>
            </w:tcBorders>
            <w:vAlign w:val="center"/>
          </w:tcPr>
          <w:p w14:paraId="1595D4B9">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铬</w:t>
            </w:r>
          </w:p>
        </w:tc>
        <w:tc>
          <w:tcPr>
            <w:tcW w:w="1165" w:type="pct"/>
            <w:tcBorders>
              <w:top w:val="single" w:color="000000" w:sz="4" w:space="0"/>
              <w:left w:val="single" w:color="000000" w:sz="4" w:space="0"/>
              <w:bottom w:val="single" w:color="000000" w:sz="4" w:space="0"/>
              <w:right w:val="single" w:color="000000" w:sz="4" w:space="0"/>
            </w:tcBorders>
            <w:vAlign w:val="center"/>
          </w:tcPr>
          <w:p w14:paraId="3D9C43AB">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c>
          <w:tcPr>
            <w:tcW w:w="1251" w:type="pct"/>
            <w:tcBorders>
              <w:top w:val="single" w:color="000000" w:sz="4" w:space="0"/>
              <w:left w:val="single" w:color="000000" w:sz="4" w:space="0"/>
              <w:bottom w:val="single" w:color="000000" w:sz="4" w:space="0"/>
              <w:right w:val="single" w:color="000000" w:sz="4" w:space="0"/>
            </w:tcBorders>
            <w:vAlign w:val="center"/>
          </w:tcPr>
          <w:p w14:paraId="74413D83">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r>
      <w:tr w14:paraId="1A3CD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 w:type="pct"/>
            <w:tcBorders>
              <w:top w:val="single" w:color="000000" w:sz="4" w:space="0"/>
              <w:left w:val="single" w:color="000000" w:sz="4" w:space="0"/>
              <w:bottom w:val="single" w:color="000000" w:sz="4" w:space="0"/>
              <w:right w:val="single" w:color="000000" w:sz="4" w:space="0"/>
            </w:tcBorders>
            <w:vAlign w:val="center"/>
          </w:tcPr>
          <w:p w14:paraId="29857C8A">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14</w:t>
            </w:r>
          </w:p>
        </w:tc>
        <w:tc>
          <w:tcPr>
            <w:tcW w:w="2094" w:type="pct"/>
            <w:tcBorders>
              <w:top w:val="single" w:color="000000" w:sz="4" w:space="0"/>
              <w:left w:val="single" w:color="000000" w:sz="4" w:space="0"/>
              <w:bottom w:val="single" w:color="000000" w:sz="4" w:space="0"/>
              <w:right w:val="single" w:color="000000" w:sz="4" w:space="0"/>
            </w:tcBorders>
            <w:vAlign w:val="center"/>
          </w:tcPr>
          <w:p w14:paraId="63A85B92">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铁</w:t>
            </w:r>
          </w:p>
        </w:tc>
        <w:tc>
          <w:tcPr>
            <w:tcW w:w="1165" w:type="pct"/>
            <w:tcBorders>
              <w:top w:val="single" w:color="000000" w:sz="4" w:space="0"/>
              <w:left w:val="single" w:color="000000" w:sz="4" w:space="0"/>
              <w:bottom w:val="single" w:color="000000" w:sz="4" w:space="0"/>
              <w:right w:val="single" w:color="000000" w:sz="4" w:space="0"/>
            </w:tcBorders>
            <w:vAlign w:val="center"/>
          </w:tcPr>
          <w:p w14:paraId="0203DF79">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c>
          <w:tcPr>
            <w:tcW w:w="1251" w:type="pct"/>
            <w:tcBorders>
              <w:top w:val="single" w:color="000000" w:sz="4" w:space="0"/>
              <w:left w:val="single" w:color="000000" w:sz="4" w:space="0"/>
              <w:bottom w:val="single" w:color="000000" w:sz="4" w:space="0"/>
              <w:right w:val="single" w:color="000000" w:sz="4" w:space="0"/>
            </w:tcBorders>
            <w:vAlign w:val="center"/>
          </w:tcPr>
          <w:p w14:paraId="366CF78F">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r>
      <w:tr w14:paraId="37A46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 w:type="pct"/>
            <w:tcBorders>
              <w:top w:val="single" w:color="000000" w:sz="4" w:space="0"/>
              <w:left w:val="single" w:color="000000" w:sz="4" w:space="0"/>
              <w:bottom w:val="single" w:color="000000" w:sz="4" w:space="0"/>
              <w:right w:val="single" w:color="000000" w:sz="4" w:space="0"/>
            </w:tcBorders>
            <w:vAlign w:val="center"/>
          </w:tcPr>
          <w:p w14:paraId="56948BC2">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15</w:t>
            </w:r>
          </w:p>
        </w:tc>
        <w:tc>
          <w:tcPr>
            <w:tcW w:w="2094" w:type="pct"/>
            <w:tcBorders>
              <w:top w:val="single" w:color="000000" w:sz="4" w:space="0"/>
              <w:left w:val="single" w:color="000000" w:sz="4" w:space="0"/>
              <w:bottom w:val="single" w:color="000000" w:sz="4" w:space="0"/>
              <w:right w:val="single" w:color="000000" w:sz="4" w:space="0"/>
            </w:tcBorders>
            <w:vAlign w:val="center"/>
          </w:tcPr>
          <w:p w14:paraId="23E0D814">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镍</w:t>
            </w:r>
          </w:p>
        </w:tc>
        <w:tc>
          <w:tcPr>
            <w:tcW w:w="1165" w:type="pct"/>
            <w:tcBorders>
              <w:top w:val="single" w:color="000000" w:sz="4" w:space="0"/>
              <w:left w:val="single" w:color="000000" w:sz="4" w:space="0"/>
              <w:bottom w:val="single" w:color="000000" w:sz="4" w:space="0"/>
              <w:right w:val="single" w:color="000000" w:sz="4" w:space="0"/>
            </w:tcBorders>
            <w:vAlign w:val="center"/>
          </w:tcPr>
          <w:p w14:paraId="26B722F8">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c>
          <w:tcPr>
            <w:tcW w:w="1251" w:type="pct"/>
            <w:tcBorders>
              <w:top w:val="single" w:color="000000" w:sz="4" w:space="0"/>
              <w:left w:val="single" w:color="000000" w:sz="4" w:space="0"/>
              <w:bottom w:val="single" w:color="000000" w:sz="4" w:space="0"/>
              <w:right w:val="single" w:color="000000" w:sz="4" w:space="0"/>
            </w:tcBorders>
            <w:vAlign w:val="center"/>
          </w:tcPr>
          <w:p w14:paraId="100F8510">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r>
      <w:tr w14:paraId="3B458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 w:type="pct"/>
            <w:tcBorders>
              <w:top w:val="single" w:color="000000" w:sz="4" w:space="0"/>
              <w:left w:val="single" w:color="000000" w:sz="4" w:space="0"/>
              <w:bottom w:val="single" w:color="000000" w:sz="4" w:space="0"/>
              <w:right w:val="single" w:color="000000" w:sz="4" w:space="0"/>
            </w:tcBorders>
            <w:vAlign w:val="center"/>
          </w:tcPr>
          <w:p w14:paraId="72EEC121">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16</w:t>
            </w:r>
          </w:p>
        </w:tc>
        <w:tc>
          <w:tcPr>
            <w:tcW w:w="2094" w:type="pct"/>
            <w:tcBorders>
              <w:top w:val="single" w:color="000000" w:sz="4" w:space="0"/>
              <w:left w:val="single" w:color="000000" w:sz="4" w:space="0"/>
              <w:bottom w:val="single" w:color="000000" w:sz="4" w:space="0"/>
              <w:right w:val="single" w:color="000000" w:sz="4" w:space="0"/>
            </w:tcBorders>
            <w:vAlign w:val="center"/>
          </w:tcPr>
          <w:p w14:paraId="5941BA20">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铜</w:t>
            </w:r>
          </w:p>
        </w:tc>
        <w:tc>
          <w:tcPr>
            <w:tcW w:w="1165" w:type="pct"/>
            <w:tcBorders>
              <w:top w:val="single" w:color="000000" w:sz="4" w:space="0"/>
              <w:left w:val="single" w:color="000000" w:sz="4" w:space="0"/>
              <w:bottom w:val="single" w:color="000000" w:sz="4" w:space="0"/>
              <w:right w:val="single" w:color="000000" w:sz="4" w:space="0"/>
            </w:tcBorders>
            <w:vAlign w:val="center"/>
          </w:tcPr>
          <w:p w14:paraId="0D48D591">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c>
          <w:tcPr>
            <w:tcW w:w="1251" w:type="pct"/>
            <w:tcBorders>
              <w:top w:val="single" w:color="000000" w:sz="4" w:space="0"/>
              <w:left w:val="single" w:color="000000" w:sz="4" w:space="0"/>
              <w:bottom w:val="single" w:color="000000" w:sz="4" w:space="0"/>
              <w:right w:val="single" w:color="000000" w:sz="4" w:space="0"/>
            </w:tcBorders>
            <w:vAlign w:val="center"/>
          </w:tcPr>
          <w:p w14:paraId="58A02277">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r>
      <w:tr w14:paraId="5EC43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 w:type="pct"/>
            <w:tcBorders>
              <w:top w:val="single" w:color="000000" w:sz="4" w:space="0"/>
              <w:left w:val="single" w:color="000000" w:sz="4" w:space="0"/>
              <w:bottom w:val="single" w:color="000000" w:sz="4" w:space="0"/>
              <w:right w:val="single" w:color="000000" w:sz="4" w:space="0"/>
            </w:tcBorders>
            <w:vAlign w:val="center"/>
          </w:tcPr>
          <w:p w14:paraId="784C7923">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17</w:t>
            </w:r>
          </w:p>
        </w:tc>
        <w:tc>
          <w:tcPr>
            <w:tcW w:w="2094" w:type="pct"/>
            <w:tcBorders>
              <w:top w:val="single" w:color="000000" w:sz="4" w:space="0"/>
              <w:left w:val="single" w:color="000000" w:sz="4" w:space="0"/>
              <w:bottom w:val="single" w:color="000000" w:sz="4" w:space="0"/>
              <w:right w:val="single" w:color="000000" w:sz="4" w:space="0"/>
            </w:tcBorders>
            <w:vAlign w:val="center"/>
          </w:tcPr>
          <w:p w14:paraId="5C3D8BF1">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锌</w:t>
            </w:r>
          </w:p>
        </w:tc>
        <w:tc>
          <w:tcPr>
            <w:tcW w:w="1165" w:type="pct"/>
            <w:tcBorders>
              <w:top w:val="single" w:color="000000" w:sz="4" w:space="0"/>
              <w:left w:val="single" w:color="000000" w:sz="4" w:space="0"/>
              <w:bottom w:val="single" w:color="000000" w:sz="4" w:space="0"/>
              <w:right w:val="single" w:color="000000" w:sz="4" w:space="0"/>
            </w:tcBorders>
            <w:vAlign w:val="center"/>
          </w:tcPr>
          <w:p w14:paraId="0F10B19F">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c>
          <w:tcPr>
            <w:tcW w:w="1251" w:type="pct"/>
            <w:tcBorders>
              <w:top w:val="single" w:color="000000" w:sz="4" w:space="0"/>
              <w:left w:val="single" w:color="000000" w:sz="4" w:space="0"/>
              <w:bottom w:val="single" w:color="000000" w:sz="4" w:space="0"/>
              <w:right w:val="single" w:color="000000" w:sz="4" w:space="0"/>
            </w:tcBorders>
            <w:vAlign w:val="center"/>
          </w:tcPr>
          <w:p w14:paraId="71995A89">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r>
      <w:tr w14:paraId="75A1D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 w:type="pct"/>
            <w:tcBorders>
              <w:top w:val="single" w:color="000000" w:sz="4" w:space="0"/>
              <w:left w:val="single" w:color="000000" w:sz="4" w:space="0"/>
              <w:bottom w:val="single" w:color="000000" w:sz="4" w:space="0"/>
              <w:right w:val="single" w:color="000000" w:sz="4" w:space="0"/>
            </w:tcBorders>
            <w:vAlign w:val="center"/>
          </w:tcPr>
          <w:p w14:paraId="559653A3">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18</w:t>
            </w:r>
          </w:p>
        </w:tc>
        <w:tc>
          <w:tcPr>
            <w:tcW w:w="2094" w:type="pct"/>
            <w:tcBorders>
              <w:top w:val="single" w:color="000000" w:sz="4" w:space="0"/>
              <w:left w:val="single" w:color="000000" w:sz="4" w:space="0"/>
              <w:bottom w:val="single" w:color="000000" w:sz="4" w:space="0"/>
              <w:right w:val="single" w:color="000000" w:sz="4" w:space="0"/>
            </w:tcBorders>
            <w:vAlign w:val="center"/>
          </w:tcPr>
          <w:p w14:paraId="2C8616F7">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铝</w:t>
            </w:r>
          </w:p>
        </w:tc>
        <w:tc>
          <w:tcPr>
            <w:tcW w:w="1165" w:type="pct"/>
            <w:tcBorders>
              <w:top w:val="single" w:color="000000" w:sz="4" w:space="0"/>
              <w:left w:val="single" w:color="000000" w:sz="4" w:space="0"/>
              <w:bottom w:val="single" w:color="000000" w:sz="4" w:space="0"/>
              <w:right w:val="single" w:color="000000" w:sz="4" w:space="0"/>
            </w:tcBorders>
            <w:vAlign w:val="center"/>
          </w:tcPr>
          <w:p w14:paraId="3C9874A2">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c>
          <w:tcPr>
            <w:tcW w:w="1251" w:type="pct"/>
            <w:tcBorders>
              <w:top w:val="single" w:color="000000" w:sz="4" w:space="0"/>
              <w:left w:val="single" w:color="000000" w:sz="4" w:space="0"/>
              <w:bottom w:val="single" w:color="000000" w:sz="4" w:space="0"/>
              <w:right w:val="single" w:color="000000" w:sz="4" w:space="0"/>
            </w:tcBorders>
            <w:vAlign w:val="center"/>
          </w:tcPr>
          <w:p w14:paraId="46F882B6">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r>
      <w:tr w14:paraId="28EBF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9" w:type="pct"/>
            <w:tcBorders>
              <w:top w:val="single" w:color="000000" w:sz="4" w:space="0"/>
              <w:left w:val="single" w:color="000000" w:sz="4" w:space="0"/>
              <w:bottom w:val="single" w:color="000000" w:sz="4" w:space="0"/>
              <w:right w:val="single" w:color="000000" w:sz="4" w:space="0"/>
            </w:tcBorders>
            <w:vAlign w:val="center"/>
          </w:tcPr>
          <w:p w14:paraId="4AB01396">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19</w:t>
            </w:r>
          </w:p>
        </w:tc>
        <w:tc>
          <w:tcPr>
            <w:tcW w:w="2094" w:type="pct"/>
            <w:tcBorders>
              <w:top w:val="single" w:color="000000" w:sz="4" w:space="0"/>
              <w:left w:val="single" w:color="000000" w:sz="4" w:space="0"/>
              <w:bottom w:val="single" w:color="000000" w:sz="4" w:space="0"/>
              <w:right w:val="single" w:color="000000" w:sz="4" w:space="0"/>
            </w:tcBorders>
            <w:vAlign w:val="center"/>
          </w:tcPr>
          <w:p w14:paraId="319A21FF">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一致性确认</w:t>
            </w:r>
          </w:p>
        </w:tc>
        <w:tc>
          <w:tcPr>
            <w:tcW w:w="1165" w:type="pct"/>
            <w:tcBorders>
              <w:top w:val="single" w:color="000000" w:sz="4" w:space="0"/>
              <w:left w:val="single" w:color="000000" w:sz="4" w:space="0"/>
              <w:bottom w:val="single" w:color="000000" w:sz="4" w:space="0"/>
              <w:right w:val="single" w:color="000000" w:sz="4" w:space="0"/>
            </w:tcBorders>
            <w:vAlign w:val="center"/>
          </w:tcPr>
          <w:p w14:paraId="0A154149">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c>
          <w:tcPr>
            <w:tcW w:w="1251" w:type="pct"/>
            <w:tcBorders>
              <w:top w:val="single" w:color="000000" w:sz="4" w:space="0"/>
              <w:left w:val="single" w:color="000000" w:sz="4" w:space="0"/>
              <w:bottom w:val="single" w:color="000000" w:sz="4" w:space="0"/>
              <w:right w:val="single" w:color="000000" w:sz="4" w:space="0"/>
            </w:tcBorders>
            <w:vAlign w:val="center"/>
          </w:tcPr>
          <w:p w14:paraId="1850B818">
            <w:pPr>
              <w:spacing w:before="0" w:after="0" w:line="360" w:lineRule="auto"/>
              <w:jc w:val="center"/>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GB 29518—2013</w:t>
            </w:r>
          </w:p>
        </w:tc>
      </w:tr>
    </w:tbl>
    <w:p w14:paraId="5A733899">
      <w:pPr>
        <w:spacing w:line="240" w:lineRule="auto"/>
        <w:rPr>
          <w:sz w:val="21"/>
          <w:szCs w:val="21"/>
        </w:rPr>
      </w:pPr>
    </w:p>
    <w:p w14:paraId="279DE21F">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执行企业标准、团体标准、地方标准的产品，检验项目参照上述内容执行。</w:t>
      </w:r>
    </w:p>
    <w:p w14:paraId="4FC3CBFD">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凡注日期的文件，其随后所有的修改单（不包括勘误的内容）或修订版不适用于本细则。凡是不注日期的文件，其最新版本适用于本细则。</w:t>
      </w:r>
    </w:p>
    <w:p w14:paraId="388DCA22">
      <w:pPr>
        <w:widowControl w:val="0"/>
        <w:snapToGrid w:val="0"/>
        <w:spacing w:after="0" w:line="240" w:lineRule="auto"/>
        <w:ind w:firstLine="420" w:firstLineChars="200"/>
        <w:jc w:val="both"/>
        <w:rPr>
          <w:rFonts w:ascii="Times New Roman" w:hAnsi="Times New Roman" w:cs="Times New Roman"/>
          <w:color w:val="000000"/>
          <w:kern w:val="2"/>
          <w:sz w:val="21"/>
          <w:szCs w:val="21"/>
          <w:lang w:eastAsia="zh-CN"/>
        </w:rPr>
      </w:pPr>
    </w:p>
    <w:p w14:paraId="161A14BD">
      <w:pPr>
        <w:widowControl w:val="0"/>
        <w:snapToGrid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3 判定规则</w:t>
      </w:r>
    </w:p>
    <w:p w14:paraId="5387D968">
      <w:pPr>
        <w:widowControl w:val="0"/>
        <w:snapToGrid w:val="0"/>
        <w:spacing w:after="0" w:line="440" w:lineRule="exact"/>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3.1 依据标准</w:t>
      </w:r>
    </w:p>
    <w:p w14:paraId="42700CD9">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 xml:space="preserve">GB 29518—2013 </w:t>
      </w:r>
      <w:r>
        <w:rPr>
          <w:rFonts w:hint="eastAsia" w:ascii="Times New Roman" w:hAnsi="Times New Roman" w:cs="Times New Roman"/>
          <w:color w:val="000000"/>
          <w:kern w:val="2"/>
          <w:sz w:val="21"/>
          <w:szCs w:val="21"/>
          <w:lang w:val="en-US" w:eastAsia="zh-CN"/>
        </w:rPr>
        <w:t xml:space="preserve"> </w:t>
      </w:r>
      <w:r>
        <w:rPr>
          <w:rFonts w:ascii="Times New Roman" w:hAnsi="Times New Roman" w:cs="Times New Roman"/>
          <w:color w:val="000000"/>
          <w:kern w:val="2"/>
          <w:sz w:val="21"/>
          <w:szCs w:val="21"/>
          <w:lang w:eastAsia="zh-CN"/>
        </w:rPr>
        <w:t>柴油发动机氮氧化物还原剂 尿素水溶液（AUS 32）</w:t>
      </w:r>
    </w:p>
    <w:p w14:paraId="5B675DD7">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现行有效的企业标准、团体标准、地方标准及产品明示质量要求</w:t>
      </w:r>
    </w:p>
    <w:p w14:paraId="2C44EB50">
      <w:pPr>
        <w:widowControl w:val="0"/>
        <w:snapToGrid w:val="0"/>
        <w:spacing w:after="0" w:line="440" w:lineRule="exact"/>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3.2 判定原则</w:t>
      </w:r>
    </w:p>
    <w:p w14:paraId="4FA9B784">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经检验，检验项目全部合格，判定为被抽查产品所检项目未发现不合格；检验项目中任一项或一项以上不合格，判定为被抽查产品不合格。</w:t>
      </w:r>
    </w:p>
    <w:p w14:paraId="46D48E3C">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若检产品明示的质量要求高于本细则中检验项目依据的标准要求时，应按被检产品明示的质量要求判定。</w:t>
      </w:r>
    </w:p>
    <w:p w14:paraId="021C127F">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若检产品明示的质量要求低于本细则中检验项目依据的强制性标准要求时，应按照强制性标准要求判定。</w:t>
      </w:r>
    </w:p>
    <w:p w14:paraId="2BAAC9F8">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若检产品明示的质量要求低于或包含本细则中检验项目依据的推荐性标准要求时，应以被检产品明示的质量要求判定。</w:t>
      </w:r>
    </w:p>
    <w:p w14:paraId="574F0923">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若被检产品明示的质量要求缺少本细则中检验项目依据的强制性标准要求时，应按照强制性标准要求判定。</w:t>
      </w:r>
    </w:p>
    <w:p w14:paraId="5AD28582">
      <w:pPr>
        <w:widowControl w:val="0"/>
        <w:snapToGrid w:val="0"/>
        <w:spacing w:after="0" w:line="440" w:lineRule="exact"/>
        <w:ind w:firstLine="420" w:firstLineChars="200"/>
        <w:jc w:val="both"/>
        <w:rPr>
          <w:rFonts w:ascii="Times New Roman" w:hAnsi="Times New Roman" w:cs="Times New Roman"/>
          <w:color w:val="000000"/>
          <w:kern w:val="2"/>
          <w:sz w:val="21"/>
          <w:szCs w:val="21"/>
          <w:lang w:eastAsia="zh-CN"/>
        </w:rPr>
      </w:pPr>
      <w:r>
        <w:rPr>
          <w:rFonts w:ascii="Times New Roman" w:hAnsi="Times New Roman" w:cs="Times New Roman"/>
          <w:color w:val="000000"/>
          <w:kern w:val="2"/>
          <w:sz w:val="21"/>
          <w:szCs w:val="21"/>
          <w:lang w:eastAsia="zh-CN"/>
        </w:rPr>
        <w:t>若检产品明示的质量要求缺少本细则中检验项目依据的推荐性标准要求时，该项目不参与判定。</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2F2420AD-F218-401C-A54A-C6F45B25FE8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embedRegular r:id="rId2" w:fontKey="{219A1CC6-63B2-4A56-9514-CD4E79D9108A}"/>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方正小标宋简体">
    <w:panose1 w:val="02000000000000000000"/>
    <w:charset w:val="86"/>
    <w:family w:val="auto"/>
    <w:pitch w:val="default"/>
    <w:sig w:usb0="00000001" w:usb1="080E0000" w:usb2="00000000" w:usb3="00000000" w:csb0="00040000" w:csb1="00000000"/>
    <w:embedRegular r:id="rId3" w:fontKey="{8F4E05DE-02EB-4CF7-813A-9074212B8514}"/>
  </w:font>
  <w:font w:name="ＭＳ 明朝">
    <w:altName w:val="Segoe Print"/>
    <w:panose1 w:val="00000000000000000000"/>
    <w:charset w:val="00"/>
    <w:family w:val="auto"/>
    <w:pitch w:val="default"/>
    <w:sig w:usb0="00000000" w:usb1="00000000" w:usb2="00000000" w:usb3="00000000" w:csb0="00000000" w:csb1="00000000"/>
    <w:embedRegular r:id="rId4" w:fontKey="{9B9CA097-BF8C-48D7-883E-64C2E5D8F6EC}"/>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1"/>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9"/>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4"/>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trackRevisions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4881B00"/>
    <w:rsid w:val="20E96693"/>
    <w:rsid w:val="23BE7487"/>
    <w:rsid w:val="563F7B21"/>
    <w:rsid w:val="60CD64FA"/>
    <w:rsid w:val="61450239"/>
    <w:rsid w:val="6558262B"/>
    <w:rsid w:val="6BD43A1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8"/>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annotation text"/>
    <w:basedOn w:val="1"/>
    <w:semiHidden/>
    <w:unhideWhenUsed/>
    <w:qFormat/>
    <w:uiPriority w:val="99"/>
    <w:pPr>
      <w:jc w:val="left"/>
    </w:pPr>
  </w:style>
  <w:style w:type="paragraph" w:styleId="18">
    <w:name w:val="Body Text 3"/>
    <w:basedOn w:val="1"/>
    <w:link w:val="147"/>
    <w:unhideWhenUsed/>
    <w:qFormat/>
    <w:uiPriority w:val="99"/>
    <w:pPr>
      <w:spacing w:after="120"/>
    </w:pPr>
    <w:rPr>
      <w:sz w:val="16"/>
      <w:szCs w:val="16"/>
    </w:rPr>
  </w:style>
  <w:style w:type="paragraph" w:styleId="19">
    <w:name w:val="List Bullet 3"/>
    <w:basedOn w:val="1"/>
    <w:unhideWhenUsed/>
    <w:qFormat/>
    <w:uiPriority w:val="99"/>
    <w:pPr>
      <w:numPr>
        <w:ilvl w:val="0"/>
        <w:numId w:val="4"/>
      </w:numPr>
      <w:contextualSpacing/>
    </w:pPr>
  </w:style>
  <w:style w:type="paragraph" w:styleId="20">
    <w:name w:val="Body Text"/>
    <w:basedOn w:val="1"/>
    <w:link w:val="145"/>
    <w:unhideWhenUsed/>
    <w:qFormat/>
    <w:uiPriority w:val="99"/>
    <w:pPr>
      <w:spacing w:after="120"/>
    </w:pPr>
  </w:style>
  <w:style w:type="paragraph" w:styleId="21">
    <w:name w:val="List Number 3"/>
    <w:basedOn w:val="1"/>
    <w:unhideWhenUsed/>
    <w:qFormat/>
    <w:uiPriority w:val="99"/>
    <w:pPr>
      <w:numPr>
        <w:ilvl w:val="0"/>
        <w:numId w:val="5"/>
      </w:numPr>
      <w:contextualSpacing/>
    </w:pPr>
  </w:style>
  <w:style w:type="paragraph" w:styleId="22">
    <w:name w:val="List 2"/>
    <w:basedOn w:val="1"/>
    <w:unhideWhenUsed/>
    <w:qFormat/>
    <w:uiPriority w:val="99"/>
    <w:pPr>
      <w:ind w:left="720" w:hanging="360"/>
      <w:contextualSpacing/>
    </w:pPr>
  </w:style>
  <w:style w:type="paragraph" w:styleId="23">
    <w:name w:val="List Continue"/>
    <w:basedOn w:val="1"/>
    <w:unhideWhenUsed/>
    <w:qFormat/>
    <w:uiPriority w:val="99"/>
    <w:pPr>
      <w:spacing w:after="120"/>
      <w:ind w:left="360"/>
      <w:contextualSpacing/>
    </w:pPr>
  </w:style>
  <w:style w:type="paragraph" w:styleId="24">
    <w:name w:val="List Bullet 2"/>
    <w:basedOn w:val="1"/>
    <w:unhideWhenUsed/>
    <w:qFormat/>
    <w:uiPriority w:val="99"/>
    <w:pPr>
      <w:numPr>
        <w:ilvl w:val="0"/>
        <w:numId w:val="6"/>
      </w:numPr>
      <w:contextualSpacing/>
    </w:pPr>
  </w:style>
  <w:style w:type="paragraph" w:styleId="25">
    <w:name w:val="footer"/>
    <w:basedOn w:val="1"/>
    <w:link w:val="137"/>
    <w:unhideWhenUsed/>
    <w:qFormat/>
    <w:uiPriority w:val="99"/>
    <w:pPr>
      <w:tabs>
        <w:tab w:val="center" w:pos="4680"/>
        <w:tab w:val="right" w:pos="9360"/>
      </w:tabs>
      <w:spacing w:after="0" w:line="240" w:lineRule="auto"/>
    </w:pPr>
  </w:style>
  <w:style w:type="paragraph" w:styleId="26">
    <w:name w:val="header"/>
    <w:basedOn w:val="1"/>
    <w:link w:val="136"/>
    <w:unhideWhenUsed/>
    <w:qFormat/>
    <w:uiPriority w:val="99"/>
    <w:pPr>
      <w:tabs>
        <w:tab w:val="center" w:pos="4680"/>
        <w:tab w:val="right" w:pos="9360"/>
      </w:tabs>
      <w:spacing w:after="0" w:line="240" w:lineRule="auto"/>
    </w:pPr>
  </w:style>
  <w:style w:type="paragraph" w:styleId="27">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8">
    <w:name w:val="List"/>
    <w:basedOn w:val="1"/>
    <w:unhideWhenUsed/>
    <w:qFormat/>
    <w:uiPriority w:val="99"/>
    <w:pPr>
      <w:ind w:left="360" w:hanging="360"/>
      <w:contextualSpacing/>
    </w:pPr>
  </w:style>
  <w:style w:type="paragraph" w:styleId="29">
    <w:name w:val="Body Text 2"/>
    <w:basedOn w:val="1"/>
    <w:link w:val="146"/>
    <w:unhideWhenUsed/>
    <w:qFormat/>
    <w:uiPriority w:val="99"/>
    <w:pPr>
      <w:spacing w:after="120" w:line="480" w:lineRule="auto"/>
    </w:pPr>
  </w:style>
  <w:style w:type="paragraph" w:styleId="30">
    <w:name w:val="List Continue 2"/>
    <w:basedOn w:val="1"/>
    <w:unhideWhenUsed/>
    <w:qFormat/>
    <w:uiPriority w:val="99"/>
    <w:pPr>
      <w:spacing w:after="120"/>
      <w:ind w:left="720"/>
      <w:contextualSpacing/>
    </w:p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6"/>
    <w:qFormat/>
    <w:uiPriority w:val="99"/>
  </w:style>
  <w:style w:type="character" w:customStyle="1" w:styleId="137">
    <w:name w:val="Footer Char"/>
    <w:basedOn w:val="133"/>
    <w:link w:val="25"/>
    <w:qFormat/>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7"/>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20"/>
    <w:qFormat/>
    <w:uiPriority w:val="99"/>
  </w:style>
  <w:style w:type="character" w:customStyle="1" w:styleId="146">
    <w:name w:val="Body Text 2 Char"/>
    <w:basedOn w:val="133"/>
    <w:link w:val="29"/>
    <w:qFormat/>
    <w:uiPriority w:val="99"/>
  </w:style>
  <w:style w:type="character" w:customStyle="1" w:styleId="147">
    <w:name w:val="Body Text 3 Char"/>
    <w:basedOn w:val="133"/>
    <w:link w:val="18"/>
    <w:qFormat/>
    <w:uiPriority w:val="99"/>
    <w:rPr>
      <w:sz w:val="16"/>
      <w:szCs w:val="16"/>
    </w:rPr>
  </w:style>
  <w:style w:type="character" w:customStyle="1" w:styleId="148">
    <w:name w:val="Macro Text Char"/>
    <w:basedOn w:val="133"/>
    <w:link w:val="2"/>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qFormat/>
    <w:uiPriority w:val="29"/>
    <w:rPr>
      <w:i/>
      <w:iCs/>
      <w:color w:val="000000" w:themeColor="text1"/>
      <w14:textFill>
        <w14:solidFill>
          <w14:schemeClr w14:val="tx1"/>
        </w14:solidFill>
      </w14:textFill>
    </w:rPr>
  </w:style>
  <w:style w:type="character" w:customStyle="1" w:styleId="151">
    <w:name w:val="Heading 4 Char"/>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qFormat/>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858</Words>
  <Characters>1326</Characters>
  <Lines>0</Lines>
  <Paragraphs>0</Paragraphs>
  <TotalTime>0</TotalTime>
  <ScaleCrop>false</ScaleCrop>
  <LinksUpToDate>false</LinksUpToDate>
  <CharactersWithSpaces>1380</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zw</cp:lastModifiedBy>
  <dcterms:modified xsi:type="dcterms:W3CDTF">2026-07-02T02:24:27Z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eyJoZGlkIjoiYjU4YTEyOWI0YTA1NzExMDUyM2E4NzRjZjM1MmQ2OWEiLCJ1c2VySWQiOiIxMTI2NTcyODI0In0=</vt:lpwstr>
  </property>
  <property fmtid="{D5CDD505-2E9C-101B-9397-08002B2CF9AE}" pid="3" name="KSOProductBuildVer">
    <vt:lpwstr>2052-12.1.0.23122</vt:lpwstr>
  </property>
  <property fmtid="{D5CDD505-2E9C-101B-9397-08002B2CF9AE}" pid="4" name="ICV">
    <vt:lpwstr>B10819C1BC31488B94E781C0716C1523_13</vt:lpwstr>
  </property>
</Properties>
</file>